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both"/>
        <w:rPr>
          <w:rFonts w:ascii="Century Gothic" w:cs="Century Gothic" w:eastAsia="Century Gothic" w:hAnsi="Century Gothic"/>
          <w:b w:val="1"/>
          <w:color w:val="6fa8d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6fa8d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8"/>
          <w:szCs w:val="28"/>
          <w:rtl w:val="0"/>
        </w:rPr>
        <w:t xml:space="preserve">La transformación digital de los vales, tecnología en beneficio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2060"/>
          <w:sz w:val="28"/>
          <w:szCs w:val="28"/>
          <w:rtl w:val="0"/>
        </w:rPr>
        <w:t xml:space="preserve">de los empleados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6fa8d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Por. Pablo Habichayn.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Director de Recursos Humanos en Edenred México.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El concepto y programas que conforman la previsión social han recorrido un largo camino ampliando y perfeccionando esquemas de prestaciones para trabajadores, los cuales complementan su desarrollo integral; e incentivan la construcción de un mejor ambiente en la empresa donde laboran.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Hoy los esquemas de beneficios incluyen prestaciones como vales de despensa, tarjetas de gasolina, así como incentivos en la modalidad de teletrabajo, que son buscados por miles de aspirantes a un puesto de trabajo.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Manpower</w:t>
        </w:r>
      </w:hyperlink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a través de su estudio: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Lo que los Trabajadores Quieren: Resolviendo la escasez de talento 2020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señala que, aunque la oferta salarial sigue siendo el principal factor de atracción y retención en personas, los sueldos están creciendo a la mitad de la velocidad que hace 10 años, especialmente para los trabajadores de menores ingresos, y es aquí donde entran los incentivos a reforzar la oferta laboral.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¿Cómo otorgarlos? Hace unos años se repartían incentivos en papel que posteriormente se podían utilizar en negocios, supermercados y restaurantes, sin embargo, dichos tiempos han quedado atrás. Actualmente se entregan a través de una tarjeta con chip y una aplicación móvil desde la que se puede gestionar su uso.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Esto ha tenido grandes ventajas para la empresa y el trabajador, reduciendo tiempos y fomentando la digitalización, por la cual el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 30% de los consumidores hoy utilizan los servicios de pago de alguna empresa </w:t>
        </w:r>
      </w:hyperlink>
      <w:hyperlink r:id="rId8">
        <w:r w:rsidDel="00000000" w:rsidR="00000000" w:rsidRPr="00000000">
          <w:rPr>
            <w:rFonts w:ascii="Century Gothic" w:cs="Century Gothic" w:eastAsia="Century Gothic" w:hAnsi="Century Gothic"/>
            <w:i w:val="1"/>
            <w:color w:val="1155cc"/>
            <w:sz w:val="20"/>
            <w:szCs w:val="20"/>
            <w:u w:val="single"/>
            <w:rtl w:val="0"/>
          </w:rPr>
          <w:t xml:space="preserve">‘big tech’</w:t>
        </w:r>
      </w:hyperlink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; a la par,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se estima que para 2024 existan 4 mil millones de usuarios de billeteras electrónicas (aumento considerable si tenemos en cuenta que en 2019 hubo 2.3 mil millones).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¿En qué radican los paquetes de beneficios?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Dependiendo de las necesidades de tu capital humano, es posible crear planes que se adapten y resuelvan los requerimientos de los trabajadores. Actualmente, es importante considerar que las prioridades en materia de incentivos se han dirigido hacia temas de preservación de la salud física y mental, bienestar integral (flexibilidad de horario, apoyo económico para insumos y herramientas en teletrabajo) licencia de paternidad, políticas ilimitadas de tiempo libre, por mencionar algunas.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cyan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Lo anterior forma parte de lo que conocemos como salario emocional, con lo que también se recompensa la lealtad, el aprendizaje y desarrollo de los colaboradores, pero de manera no monetaria. Si estos incentivos se combinan con beneficios financieros atractivos, políticas de equilibrio entre vida y trabajo e implementación de comunicación virtual para que el empleado pueda realizar su trabajo desde casa, las empresas tendrán mayor probabilidad de atraer y conservar al mejor equipo interno.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entury Gothic" w:cs="Century Gothic" w:eastAsia="Century Gothic" w:hAnsi="Century Gothic"/>
          <w:b w:val="1"/>
          <w:color w:val="00206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¿Hacia dónde vamos como empresas de prepago empresarial? Es fundamental ubicarnos en un ciclo de evolución continuo, que hoy está marcado por una acción: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conectar.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Este verbo es fundamental en el presente y futuro de las prestaciones y su relación con la atracción de talento. Los siguientes pasos para las empresas deberán dirigirse hacia acciones como potenciar el talento humano y aprovechar la digitalización de la mejor manera, llegando a la desmaterialización del producto (pasar del plástico hacia los dispositivos móviles con fines de eficiencia y menos uso de materiales físicos), utilizando la potencia y características de las plataformas virtuales en la generación de soluciones rentables y sostenibles basadas en varios ejes como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escalabilidad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innovación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responsabilidad social corporativa (RSC) y prioridad hacia los clientes y atención a sus necesidades.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1008351" cy="652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8351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dn2.hubspot.net/hubfs/4412988/Estudio_Escasez_de_Talento_lo_que_los_trabajadores_quieren-1.pdf" TargetMode="External"/><Relationship Id="rId7" Type="http://schemas.openxmlformats.org/officeDocument/2006/relationships/hyperlink" Target="https://www.edenred.com/2020-integrated-report" TargetMode="External"/><Relationship Id="rId8" Type="http://schemas.openxmlformats.org/officeDocument/2006/relationships/hyperlink" Target="https://www.edenred.com/2020-integrated-repor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